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14</w:t>
      </w:r>
      <w:r w:rsidRPr="00C72228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February 2012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YOKOHAMA</w:t>
      </w:r>
      <w:r w:rsidRPr="00E470AE">
        <w:rPr>
          <w:rFonts w:ascii="Arial" w:hAnsi="Arial" w:cs="Arial"/>
          <w:b/>
          <w:bCs/>
          <w:lang w:val="en-GB"/>
        </w:rPr>
        <w:t xml:space="preserve"> Unveils Phase III of Grand Design 100</w:t>
      </w:r>
      <w:r>
        <w:rPr>
          <w:rFonts w:ascii="Arial" w:hAnsi="Arial" w:cs="Arial"/>
          <w:b/>
          <w:bCs/>
          <w:lang w:val="en-GB"/>
        </w:rPr>
        <w:t xml:space="preserve"> </w:t>
      </w:r>
      <w:r w:rsidRPr="00E470AE">
        <w:rPr>
          <w:rFonts w:ascii="Arial" w:hAnsi="Arial" w:cs="Arial"/>
          <w:b/>
          <w:bCs/>
          <w:lang w:val="en-GB"/>
        </w:rPr>
        <w:t>Medium-Term Management Plan</w:t>
      </w: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Tokyo - The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Rubber Co., Ltd., unveiled today an outline of the latest three-year phase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its medium-term management plan, Grand Design 100.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entered Phase III of Grand Design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100 this January, the first month of its present fiscal year. Its chief financial targets for the three years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of Phase III are to achieve cumulative net sales of 1,800 billion yen, cumulative operating income of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150.0 billion yen, and cumulative operating return on sales of 8.3%.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chief financial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targets for the culminating year of Phase III, 2014, are to achieve net sales of 630.0 billion yen,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operating income of 60.0 billion yen, and operating return on sales of 9.5%.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Year-on-year comparisons with the culminating year of Phase II are unavailable because of a change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in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fiscal accounting period. The company has shifted to calendar-year fiscal accounting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as of 2012, from its previous April-to-March accounting. And that resulted in a one-time-only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nine-month fiscal accounting period: April to December 2011.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launched Grand Design 100 in April 2006. The plan comprises four three-year phases, and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it provides for achieving annual net sales of 1 trillion yen, annual operating income of 100 billion yen,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and annual operating return on sales of 10% by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’s corporate centennial in 2017. </w:t>
      </w:r>
      <w:r>
        <w:rPr>
          <w:rFonts w:ascii="Arial" w:hAnsi="Arial" w:cs="Arial"/>
          <w:lang w:val="en-GB"/>
        </w:rPr>
        <w:t xml:space="preserve">YOKOHAMA </w:t>
      </w:r>
      <w:r w:rsidRPr="00E470AE">
        <w:rPr>
          <w:rFonts w:ascii="Arial" w:hAnsi="Arial" w:cs="Arial"/>
          <w:lang w:val="en-GB"/>
        </w:rPr>
        <w:t>accompanies those quantitative targets with the qualitative goals of evoking a distinctive global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identity in building corporate value and in building a strong market presence.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Changes in the operating environment have obliged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to defer its horizon for the 1 trillion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yen sales target to 2019 or 2020.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remains committed, however, to achieving the target for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operating income by 2017, and management expects the operating margin to reach the 10% target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ahead of schedule.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The theme that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has adopted for Phase III of Grand Design 100 is Robust and Responsive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Growth. That theme expresses a determination to build on the progress that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has achieved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fortifying its corporate vitality and to position the company to respond flexibly to change and risk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the operating environment. It addresses the uncertain outlook for the operating environment that</w:t>
      </w:r>
      <w:r>
        <w:rPr>
          <w:rFonts w:ascii="Arial" w:hAnsi="Arial" w:cs="Arial"/>
          <w:lang w:val="en-GB"/>
        </w:rPr>
        <w:t xml:space="preserve"> YOKOHAMA</w:t>
      </w:r>
      <w:r w:rsidRPr="00E470AE">
        <w:rPr>
          <w:rFonts w:ascii="Arial" w:hAnsi="Arial" w:cs="Arial"/>
          <w:lang w:val="en-GB"/>
        </w:rPr>
        <w:t xml:space="preserve"> will face in Phase III.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Europe’s credit crisis threatens to affect the en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global economy adversely, but the world’s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emerging economies exhibit potential to resume growing vibrantly in the medium term. In Japan, the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persistently strong yen weighs heavily on exports, and the scheduled increases in the national sales tax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could dampen consumption, but demand associated with the rebuilding effort in areas affected by the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March 2011 earthquake and tsunami will stimulate GDP growth.</w:t>
      </w:r>
    </w:p>
    <w:p w:rsidR="00432927" w:rsidRDefault="00432927" w:rsidP="00AA621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Default="00432927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s are the focus of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growth plans. The company is working to assert a distinctive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identity in the global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market, to expand its global supply capacity greatly, and to deploy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high-value-added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products worldwide. In diversified products,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draw on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compelling strengths in technologies for the three functions of carrying, affixing, and buffering. It will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make the most of those strengths in developing products to assert market leadership and to cultivate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business in new sectors.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technology strategy includes working through the BluEarth branding to develop and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deploy products for benefiting the earth, society, and individuals through environmental safeguards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and in other ways. The company is collaborating, meanwhile, with third-party research organizations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in leading-edge projects aimed at developing high-functionality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technologies. In every way,</w:t>
      </w:r>
      <w:r>
        <w:rPr>
          <w:rFonts w:ascii="Arial" w:hAnsi="Arial" w:cs="Arial"/>
          <w:lang w:val="en-GB"/>
        </w:rPr>
        <w:t xml:space="preserve"> YOKOHAMA</w:t>
      </w:r>
      <w:r w:rsidRPr="00E470AE">
        <w:rPr>
          <w:rFonts w:ascii="Arial" w:hAnsi="Arial" w:cs="Arial"/>
          <w:lang w:val="en-GB"/>
        </w:rPr>
        <w:t xml:space="preserve"> is mobilizing its technological resources in support of delivering the best products at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competitive prices and on time.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Phase III of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Grand Design 100 also provides for redoubling the company’s efforts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reinforcing its corporate foundation and in fulfilling its corporate social responsibility.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has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tapped employee initiative in identifying and acting on opportunities for eliminating waste through its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i/>
          <w:iCs/>
          <w:lang w:val="en-GB"/>
        </w:rPr>
        <w:t xml:space="preserve">Mudadori </w:t>
      </w:r>
      <w:r w:rsidRPr="00E470AE">
        <w:rPr>
          <w:rFonts w:ascii="Arial" w:hAnsi="Arial" w:cs="Arial"/>
          <w:lang w:val="en-GB"/>
        </w:rPr>
        <w:t>activities. In Phase III, it will augment those activities with team projects for tackling issues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designated by management.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has focused on seven priorities, meanwhile, under the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International Organization for Standardization’s ISO 26000 guidelines for social responsibility, and it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will tackle those priorities through wide-ranging efforts.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>Detailed Summary of Grand Design 100 Phase III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 xml:space="preserve">Growth strategy: </w:t>
      </w:r>
      <w:r>
        <w:rPr>
          <w:rFonts w:ascii="Arial" w:hAnsi="Arial" w:cs="Arial"/>
          <w:b/>
          <w:bCs/>
          <w:lang w:val="en-GB"/>
        </w:rPr>
        <w:t>tyre</w:t>
      </w:r>
      <w:r w:rsidRPr="00E470AE">
        <w:rPr>
          <w:rFonts w:ascii="Arial" w:hAnsi="Arial" w:cs="Arial"/>
          <w:b/>
          <w:bCs/>
          <w:lang w:val="en-GB"/>
        </w:rPr>
        <w:t>s</w:t>
      </w: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1. Asserting a distinctive presence in the global marketplace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work to strengthen its competiveness in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markets by bolstering its capabilities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technology and in product development. The company will serve the continuing growth in global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demand for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by expanding its supply capacity, mainly at overseas plants.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In consumer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s,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strive to launch products of best-in-class fuel economy and products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of high functionality. In commercial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s, the company will strive to differentiate its products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advantageously through original technology and will put in place lifetime product support.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integrate its operations locally in principal markets in support of serving local demand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with locally manufactured products. That will include establishing local R&amp;D capabilities in principal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markets. In addition, the company will work systematically to improve its global supply chain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management.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Default="00432927" w:rsidP="00AA621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Default="00432927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2. Increasing supply capacity greatly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Increases in production capacity 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center on Russia, China, the Philippines, and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Thailand, and the company will increase its annual production capacity by about 7 million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during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the three years of Phase III. That will increase the company’s global production capacity to 66 million</w:t>
      </w:r>
      <w:r>
        <w:rPr>
          <w:rFonts w:ascii="Arial" w:hAnsi="Arial" w:cs="Arial"/>
          <w:lang w:val="en-GB"/>
        </w:rPr>
        <w:t xml:space="preserve"> tyre</w:t>
      </w:r>
      <w:r w:rsidRPr="00E470AE">
        <w:rPr>
          <w:rFonts w:ascii="Arial" w:hAnsi="Arial" w:cs="Arial"/>
          <w:lang w:val="en-GB"/>
        </w:rPr>
        <w:t>s a year by the end of 2014, from 59 million at the end of 2011.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In addition to the 7-million-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increase in annual production capacity in Phase III,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has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announced plans to increase its annual production capacity by a further 20 million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in Phase IV.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And it will allocate 140 billion yen to capital spending for that purpose in Phase III. The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20-million-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increase in Phase IV would bring the company’s production capacity to 86 million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 year by the end of 2017.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Possible new plants for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s are under consideration 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, and the leading candidates are sites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in China, India, North America, and Latin America. Also under consideration are expansion projects at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the company’s existing plants in the Philippines, Thailand, Vietnam, and Russia.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3. Deploying high-value-added products globally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continue to fortify its offerings in consumer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under its ADVAN flagship brand for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high-performance products, its BluEarth brand for fuel-saving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s, its iceGUARD brand for winter</w:t>
      </w:r>
      <w:r>
        <w:rPr>
          <w:rFonts w:ascii="Arial" w:hAnsi="Arial" w:cs="Arial"/>
          <w:lang w:val="en-GB"/>
        </w:rPr>
        <w:t xml:space="preserve"> tyre</w:t>
      </w:r>
      <w:r w:rsidRPr="00E470AE">
        <w:rPr>
          <w:rFonts w:ascii="Arial" w:hAnsi="Arial" w:cs="Arial"/>
          <w:lang w:val="en-GB"/>
        </w:rPr>
        <w:t xml:space="preserve">s, and its GEOLANDAR brand for sport-utility vehicle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s. The company will move to strengthen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its position in commercial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s by deploying radial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for off-the-road vehicles in sizes of 49 inches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and larger; by broadening its offerings in high-functionality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 for trucks and buses, such as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ultralow-profile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s; and by expanding its market presence in retreaded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>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>Growth strategy: diversified products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1. Asserting market leadership with products based on three core technologies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The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portfolio of diversified products features compelling strengths in three core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technologies for fulfilling the functions of carrying, affixing, and buffering.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transcend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conventional product categories in striving to translated those strengths into market-leading products.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In addition, it will realign its Japanese production network for diversified products and will continue to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expand and upgrade its overseas production network for those products.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Default="00432927" w:rsidP="00AA621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Pr="00E470AE" w:rsidRDefault="00432927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2. Cultivating business in new sectors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will employ telecommunications and measurement technologies in developing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high-value-added products in new sectors. That will include developing new products for such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applications as ship-manoeuvring assistance, marine hoses, and sporting goods and related services.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>Technology strategy</w:t>
      </w: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>A commitment to safeguarding the earth, society, and individuals in accordance with the BluEarth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concept is the centrepiece of technology strategy 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. The company’s initiatives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connection with that commitment include working to reduce pass-by noise outside the vehicle and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road noise inside vehicle and adopting the Advanced Inner Liner for preventing air seepage on a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broadening range of </w:t>
      </w:r>
      <w:r>
        <w:rPr>
          <w:rFonts w:ascii="Arial" w:hAnsi="Arial" w:cs="Arial"/>
          <w:lang w:val="en-GB"/>
        </w:rPr>
        <w:t>tyre</w:t>
      </w:r>
      <w:r w:rsidRPr="00E470AE">
        <w:rPr>
          <w:rFonts w:ascii="Arial" w:hAnsi="Arial" w:cs="Arial"/>
          <w:lang w:val="en-GB"/>
        </w:rPr>
        <w:t xml:space="preserve"> products.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is supplementing its efforts by tapping third-party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resources, such as Japan’s SPring-8 synchrotron radiation facility and K Computer supercomputing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project. Technology strategy at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also provides for reinforcing the company’s ability to offer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valuable products at competitive prices and in a timely manner by bolstering capabilities in creating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basic technologies, in converting those technologies into products, and in moving products into mass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production.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>Reinforcing the company’s corporate foundation</w:t>
      </w: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In 2006,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inaugurated its </w:t>
      </w:r>
      <w:r w:rsidRPr="00E470AE">
        <w:rPr>
          <w:rFonts w:ascii="Arial" w:hAnsi="Arial" w:cs="Arial"/>
          <w:i/>
          <w:iCs/>
          <w:lang w:val="en-GB"/>
        </w:rPr>
        <w:t xml:space="preserve">Mudadori </w:t>
      </w:r>
      <w:r w:rsidRPr="00E470AE">
        <w:rPr>
          <w:rFonts w:ascii="Arial" w:hAnsi="Arial" w:cs="Arial"/>
          <w:lang w:val="en-GB"/>
        </w:rPr>
        <w:t>activities as a program for tapping employee initiative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in identifying and acting on cost-cutting opportunities. Those activities have yielded cumulative cost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savings of 51.5 billion yen. In Phase III of Grand Design 100, the company will augment the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i/>
          <w:iCs/>
          <w:lang w:val="en-GB"/>
        </w:rPr>
        <w:t xml:space="preserve">Mudadori </w:t>
      </w:r>
      <w:r w:rsidRPr="00E470AE">
        <w:rPr>
          <w:rFonts w:ascii="Arial" w:hAnsi="Arial" w:cs="Arial"/>
          <w:lang w:val="en-GB"/>
        </w:rPr>
        <w:t>activities with projects for tackling themes designated by management.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Default="00432927" w:rsidP="00AA621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432927" w:rsidRPr="00E470AE" w:rsidRDefault="00432927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  <w:r w:rsidRPr="00E470AE">
        <w:rPr>
          <w:rFonts w:ascii="Arial" w:hAnsi="Arial" w:cs="Arial"/>
          <w:b/>
          <w:bCs/>
          <w:lang w:val="en-GB"/>
        </w:rPr>
        <w:t>Fulfilling corporate social responsibility</w:t>
      </w: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>’s Social Responsibility Management Vision calls for building a trusted identity as a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contributing member of the global community. The company is tackling seven priority themes in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accordance with the International Organization for Standardization’s ISO 26000 guidelines for social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responsibility.</w:t>
      </w:r>
    </w:p>
    <w:p w:rsidR="00C72228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</w:p>
    <w:p w:rsidR="00C72228" w:rsidRPr="00E470AE" w:rsidRDefault="00C72228" w:rsidP="00AA621B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E470AE">
        <w:rPr>
          <w:rFonts w:ascii="Arial" w:hAnsi="Arial" w:cs="Arial"/>
          <w:lang w:val="en-GB"/>
        </w:rPr>
        <w:t xml:space="preserve">In Grand Design 100 Phase III,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is devoting special attention to four themes: environmental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protection, where the company’s initiatives include developing products for minimizing environmental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impact and working to eliminate landfill waste at plants; workplace safety, where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is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working to eliminate hazards in work processes; stakeholder communication, where the company is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highlighting its stance through such initiatives as tree plantings worldwide in the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Forever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 xml:space="preserve">Forest project; and corporate governance and ethical compliance, where </w:t>
      </w:r>
      <w:r>
        <w:rPr>
          <w:rFonts w:ascii="Arial" w:hAnsi="Arial" w:cs="Arial"/>
          <w:lang w:val="en-GB"/>
        </w:rPr>
        <w:t>YOKOHAMA</w:t>
      </w:r>
      <w:r w:rsidRPr="00E470AE">
        <w:rPr>
          <w:rFonts w:ascii="Arial" w:hAnsi="Arial" w:cs="Arial"/>
          <w:lang w:val="en-GB"/>
        </w:rPr>
        <w:t xml:space="preserve"> is putting in place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a framework for monitoring its corporate conduct, for ensuring compliance with rigorous standards of</w:t>
      </w:r>
      <w:r>
        <w:rPr>
          <w:rFonts w:ascii="Arial" w:hAnsi="Arial" w:cs="Arial"/>
          <w:lang w:val="en-GB"/>
        </w:rPr>
        <w:t xml:space="preserve"> </w:t>
      </w:r>
      <w:r w:rsidRPr="00E470AE">
        <w:rPr>
          <w:rFonts w:ascii="Arial" w:hAnsi="Arial" w:cs="Arial"/>
          <w:lang w:val="en-GB"/>
        </w:rPr>
        <w:t>corporate ethics, and for addressing breaches and suspected breaches swiftly.</w:t>
      </w:r>
    </w:p>
    <w:p w:rsidR="009E4272" w:rsidRPr="00C72228" w:rsidRDefault="009E4272" w:rsidP="00AA621B">
      <w:pPr>
        <w:jc w:val="both"/>
        <w:rPr>
          <w:lang w:val="en-GB"/>
        </w:rPr>
      </w:pPr>
    </w:p>
    <w:sectPr w:rsidR="009E4272" w:rsidRPr="00C72228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65D8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65D80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65D80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2927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6318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A621B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2228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D3A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A57C8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1462</Words>
  <Characters>9215</Characters>
  <Application>Microsoft Office Word</Application>
  <DocSecurity>0</DocSecurity>
  <Lines>76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4</cp:revision>
  <cp:lastPrinted>2012-03-02T16:27:00Z</cp:lastPrinted>
  <dcterms:created xsi:type="dcterms:W3CDTF">2012-07-05T11:23:00Z</dcterms:created>
  <dcterms:modified xsi:type="dcterms:W3CDTF">2012-07-05T11:37:00Z</dcterms:modified>
</cp:coreProperties>
</file>